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22CED" w14:textId="77777777" w:rsidR="00294301" w:rsidRDefault="00294301" w:rsidP="00294301">
      <w:pPr>
        <w:jc w:val="center"/>
        <w:rPr>
          <w:bCs/>
        </w:rPr>
      </w:pPr>
    </w:p>
    <w:p w14:paraId="4A340222" w14:textId="77777777" w:rsidR="00294301" w:rsidRDefault="00294301" w:rsidP="00294301">
      <w:pPr>
        <w:jc w:val="center"/>
        <w:rPr>
          <w:bCs/>
        </w:rPr>
      </w:pPr>
    </w:p>
    <w:p w14:paraId="3E9E5EF3" w14:textId="77777777" w:rsidR="00294301" w:rsidRDefault="00294301" w:rsidP="00294301">
      <w:pPr>
        <w:jc w:val="center"/>
        <w:rPr>
          <w:bCs/>
        </w:rPr>
      </w:pPr>
    </w:p>
    <w:p w14:paraId="04AA289E" w14:textId="17666593" w:rsidR="00294301" w:rsidRDefault="00294301" w:rsidP="00294301">
      <w:pPr>
        <w:jc w:val="center"/>
        <w:rPr>
          <w:bCs/>
        </w:rPr>
      </w:pPr>
    </w:p>
    <w:p w14:paraId="4E536549" w14:textId="77777777" w:rsidR="00294301" w:rsidRDefault="00294301" w:rsidP="00294301">
      <w:pPr>
        <w:jc w:val="center"/>
        <w:rPr>
          <w:bCs/>
        </w:rPr>
      </w:pPr>
    </w:p>
    <w:p w14:paraId="0109D270" w14:textId="5CAD6FE2" w:rsidR="007531EC" w:rsidRDefault="00196DD0" w:rsidP="00294301">
      <w:pPr>
        <w:jc w:val="center"/>
        <w:rPr>
          <w:bCs/>
        </w:rPr>
      </w:pPr>
      <w:r w:rsidRPr="00164D06">
        <w:rPr>
          <w:bCs/>
        </w:rPr>
        <w:t xml:space="preserve">Aviva </w:t>
      </w:r>
      <w:r w:rsidR="0071506C" w:rsidRPr="00164D06">
        <w:rPr>
          <w:bCs/>
        </w:rPr>
        <w:t xml:space="preserve">Case Study </w:t>
      </w:r>
      <w:r w:rsidR="00164D06" w:rsidRPr="00164D06">
        <w:rPr>
          <w:bCs/>
        </w:rPr>
        <w:t xml:space="preserve">Responses </w:t>
      </w:r>
      <w:r w:rsidRPr="00164D06">
        <w:rPr>
          <w:bCs/>
        </w:rPr>
        <w:t>and Thoughts of Family Caregiving</w:t>
      </w:r>
    </w:p>
    <w:p w14:paraId="0BE765B1" w14:textId="42B63476" w:rsidR="00F6692D" w:rsidRDefault="00F6692D" w:rsidP="00294301">
      <w:pPr>
        <w:jc w:val="center"/>
        <w:rPr>
          <w:bCs/>
        </w:rPr>
      </w:pPr>
      <w:r>
        <w:rPr>
          <w:bCs/>
        </w:rPr>
        <w:t>Student’s Name</w:t>
      </w:r>
    </w:p>
    <w:p w14:paraId="63075E78" w14:textId="4EC497C7" w:rsidR="00F6692D" w:rsidRDefault="00F6692D" w:rsidP="00294301">
      <w:pPr>
        <w:jc w:val="center"/>
        <w:rPr>
          <w:bCs/>
        </w:rPr>
      </w:pPr>
      <w:r>
        <w:rPr>
          <w:bCs/>
        </w:rPr>
        <w:t>Institutional Affiliations</w:t>
      </w:r>
    </w:p>
    <w:p w14:paraId="5E4D8D3A" w14:textId="77777777" w:rsidR="00294301" w:rsidRDefault="00294301" w:rsidP="00294301">
      <w:pPr>
        <w:jc w:val="center"/>
        <w:rPr>
          <w:bCs/>
        </w:rPr>
      </w:pPr>
      <w:r>
        <w:rPr>
          <w:bCs/>
        </w:rPr>
        <w:br w:type="page"/>
      </w:r>
    </w:p>
    <w:p w14:paraId="66FF8050" w14:textId="65A3F727" w:rsidR="00F6692D" w:rsidRDefault="00F6692D" w:rsidP="00294301">
      <w:pPr>
        <w:jc w:val="center"/>
        <w:rPr>
          <w:bCs/>
        </w:rPr>
      </w:pPr>
      <w:r w:rsidRPr="00F6692D">
        <w:rPr>
          <w:bCs/>
        </w:rPr>
        <w:lastRenderedPageBreak/>
        <w:t>Aviva Case Study Responses and Thoughts of Family Caregiving</w:t>
      </w:r>
    </w:p>
    <w:p w14:paraId="1B69682B" w14:textId="77777777" w:rsidR="007531EC" w:rsidRDefault="0071506C" w:rsidP="00294301">
      <w:pPr>
        <w:jc w:val="center"/>
        <w:rPr>
          <w:b/>
        </w:rPr>
      </w:pPr>
      <w:r>
        <w:rPr>
          <w:b/>
        </w:rPr>
        <w:t>Part 1</w:t>
      </w:r>
    </w:p>
    <w:p w14:paraId="31FF9457" w14:textId="77777777" w:rsidR="007531EC" w:rsidRDefault="0071506C" w:rsidP="00294301">
      <w:pPr>
        <w:ind w:firstLine="720"/>
      </w:pPr>
      <w:r>
        <w:t xml:space="preserve">As part of my initial response to Uri, I will ask him to elaborate more about his decision to come out as transgender, such as the reasons why he </w:t>
      </w:r>
      <w:r w:rsidR="002F3BB7">
        <w:t xml:space="preserve">decided to do so at that particular time, and how he feels that the decision will impact his life. It will be important to first understand Uri’s point of view regarding the matter through actively listening to his concerns, thoughts, and why he feels his family is not supportive of his decision. </w:t>
      </w:r>
      <w:r>
        <w:t>To help Uri address his identity with his family, I will encourage h</w:t>
      </w:r>
      <w:r>
        <w:t>im to organize a meeting with his family members in which he should be accompanied by an individual who supports him and is trusted by his family members such as a social worker who can answer some questions regarding how Uri’s family can accommodate his d</w:t>
      </w:r>
      <w:r>
        <w:t>ecision and any reservations that they may have. I will encourage him to practice authenticity and complete honesty in explaining his choice to his family members</w:t>
      </w:r>
      <w:r w:rsidR="00E07C20">
        <w:t xml:space="preserve"> (Quam, 1997)</w:t>
      </w:r>
      <w:r>
        <w:t xml:space="preserve">. Furthermore, he should try to understand his family’s reaction and why they do </w:t>
      </w:r>
      <w:r>
        <w:t>not support his decision.</w:t>
      </w:r>
      <w:r w:rsidR="00507BE6">
        <w:t xml:space="preserve"> It may also be important for Uri to join a support group of similar individuals in his area to gain a better understanding of how he can </w:t>
      </w:r>
      <w:r w:rsidR="00071BC1">
        <w:t>more efficiently inform his family about his decision</w:t>
      </w:r>
      <w:r w:rsidR="00AF2051">
        <w:t xml:space="preserve"> (</w:t>
      </w:r>
      <w:r w:rsidR="00AF2051" w:rsidRPr="00E07C20">
        <w:t>Kochman</w:t>
      </w:r>
      <w:r w:rsidR="00AF2051">
        <w:t>, 1997)</w:t>
      </w:r>
      <w:r w:rsidR="00071BC1">
        <w:t>.</w:t>
      </w:r>
    </w:p>
    <w:p w14:paraId="67649378" w14:textId="71823B01" w:rsidR="007531EC" w:rsidRDefault="0071506C" w:rsidP="00294301">
      <w:pPr>
        <w:ind w:firstLine="720"/>
      </w:pPr>
      <w:r>
        <w:t>The main cultural issu</w:t>
      </w:r>
      <w:r>
        <w:t>es that may be faced in Uri’s circumstance mainly relate to the social stigmatization against individuals who do not conform to the traditional binary gender divisions in society</w:t>
      </w:r>
      <w:r w:rsidR="00AF2051">
        <w:t xml:space="preserve"> (</w:t>
      </w:r>
      <w:r w:rsidR="00AF2051" w:rsidRPr="00E07C20">
        <w:t>Dhingra</w:t>
      </w:r>
      <w:r w:rsidR="00AF2051">
        <w:t xml:space="preserve"> et al</w:t>
      </w:r>
      <w:r w:rsidR="004F45F7">
        <w:t>.</w:t>
      </w:r>
      <w:r w:rsidR="00AF2051">
        <w:t>, 2016)</w:t>
      </w:r>
      <w:r>
        <w:t>. Such perceptions of these individuals are often fuelle</w:t>
      </w:r>
      <w:r>
        <w:t>d by religious authorities in our society as well as misconceptions about them</w:t>
      </w:r>
      <w:r w:rsidR="00AF2051">
        <w:t xml:space="preserve"> (</w:t>
      </w:r>
      <w:r w:rsidR="00AF2051" w:rsidRPr="00E07C20">
        <w:t>Dhingra</w:t>
      </w:r>
      <w:r w:rsidR="00AF2051">
        <w:t xml:space="preserve"> et al</w:t>
      </w:r>
      <w:r w:rsidR="004F45F7">
        <w:t>.</w:t>
      </w:r>
      <w:r w:rsidR="00AF2051">
        <w:t>, 2016)</w:t>
      </w:r>
      <w:r>
        <w:t>. This negative cultural perception of gender non-conforming individuals may also inspire self-hatred in Uri and other undesirable feelings about himself du</w:t>
      </w:r>
      <w:r>
        <w:t xml:space="preserve">e to his sexuality. This may </w:t>
      </w:r>
      <w:r>
        <w:lastRenderedPageBreak/>
        <w:t xml:space="preserve">motivate </w:t>
      </w:r>
      <w:r w:rsidR="00AF2051">
        <w:t>feelings of indignity</w:t>
      </w:r>
      <w:r>
        <w:t>, denial, and sometimes self-harming behavio</w:t>
      </w:r>
      <w:r w:rsidR="004F45F7">
        <w:t>u</w:t>
      </w:r>
      <w:r>
        <w:t>r</w:t>
      </w:r>
      <w:r w:rsidR="00AF2051">
        <w:t xml:space="preserve"> (</w:t>
      </w:r>
      <w:r w:rsidR="00AF2051" w:rsidRPr="00E07C20">
        <w:t>Dhingra</w:t>
      </w:r>
      <w:r w:rsidR="00AF2051">
        <w:t xml:space="preserve"> et al</w:t>
      </w:r>
      <w:r w:rsidR="004F45F7">
        <w:t>.</w:t>
      </w:r>
      <w:r w:rsidR="00AF2051">
        <w:t>, 2016)</w:t>
      </w:r>
      <w:r>
        <w:t>. To establish a connection between Uri and his family in a culturally sensitive manner, I will encourage Uri and his family to sp</w:t>
      </w:r>
      <w:r>
        <w:t>end more time together to better understand how they can accommodate his choices. Furthermore, I will try to provide his family with more relevant information about how they can support Uri without perceiving his choices as a burden or a factor that tarnis</w:t>
      </w:r>
      <w:r>
        <w:t>hes their family image. This may include providing informative reading materials or contacts to activist groups who may provide the necessary information. Moreover, family therapy may assist Uri’s family members to understand and support his decision.</w:t>
      </w:r>
    </w:p>
    <w:p w14:paraId="017D5A79" w14:textId="77777777" w:rsidR="007531EC" w:rsidRDefault="0071506C" w:rsidP="00294301">
      <w:pPr>
        <w:jc w:val="center"/>
        <w:rPr>
          <w:b/>
        </w:rPr>
      </w:pPr>
      <w:r>
        <w:rPr>
          <w:b/>
        </w:rPr>
        <w:t>Part</w:t>
      </w:r>
      <w:r>
        <w:rPr>
          <w:b/>
        </w:rPr>
        <w:t xml:space="preserve"> 2</w:t>
      </w:r>
    </w:p>
    <w:p w14:paraId="34450790" w14:textId="283ADD04" w:rsidR="007531EC" w:rsidRDefault="0071506C" w:rsidP="00294301">
      <w:pPr>
        <w:ind w:firstLine="720"/>
      </w:pPr>
      <w:r>
        <w:t xml:space="preserve">In my opinion, </w:t>
      </w:r>
      <w:r w:rsidR="00071BC1">
        <w:t xml:space="preserve">since </w:t>
      </w:r>
      <w:r>
        <w:t xml:space="preserve">aging-in-place </w:t>
      </w:r>
      <w:r w:rsidR="00071BC1">
        <w:t xml:space="preserve">allows the elderly to receive assistance while they are at their homes, it minimizes the challenges associated with adjusting to new environments as is the case </w:t>
      </w:r>
      <w:r w:rsidR="00514166">
        <w:t>when they</w:t>
      </w:r>
      <w:r w:rsidR="00071BC1">
        <w:t xml:space="preserve"> are moved from their homes to receive care</w:t>
      </w:r>
      <w:r w:rsidR="00AF2051">
        <w:t xml:space="preserve"> (Lum, 2005)</w:t>
      </w:r>
      <w:r w:rsidR="00071BC1">
        <w:t xml:space="preserve">. Furthermore, aging-in-place eliminates the additional expenses of facilities such as nursing homes. </w:t>
      </w:r>
      <w:r w:rsidR="00DF2EA3">
        <w:t xml:space="preserve">Senior living communities offer a variety of services that optimize accommodation </w:t>
      </w:r>
      <w:r w:rsidR="003B6BED">
        <w:t>for the elderly in our society. Some of the most common living communities include nursing homes where medical personnel are consistently available to provide high-quality medical care for senior clients and assisted living</w:t>
      </w:r>
      <w:r w:rsidR="00224E61">
        <w:t xml:space="preserve"> facilities where long-term help is provided for the elderly in their daily activities</w:t>
      </w:r>
      <w:r w:rsidR="00AF2051">
        <w:t xml:space="preserve"> (Lum, 2005)</w:t>
      </w:r>
      <w:r w:rsidR="00224E61">
        <w:t>. I think that nursing homes are especially crucial for patients with chronic medical complications or illnesses since expert medical services are consistently available</w:t>
      </w:r>
      <w:r w:rsidR="00AF2051">
        <w:t xml:space="preserve"> (</w:t>
      </w:r>
      <w:r w:rsidR="00AF2051" w:rsidRPr="00E07C20">
        <w:rPr>
          <w:rFonts w:cs="Times New Roman"/>
          <w:color w:val="222222"/>
          <w:szCs w:val="24"/>
          <w:shd w:val="clear" w:color="auto" w:fill="FFFFFF"/>
        </w:rPr>
        <w:t>Grabowski</w:t>
      </w:r>
      <w:r w:rsidR="00AF2051">
        <w:rPr>
          <w:rFonts w:cs="Times New Roman"/>
          <w:color w:val="222222"/>
          <w:szCs w:val="24"/>
          <w:shd w:val="clear" w:color="auto" w:fill="FFFFFF"/>
        </w:rPr>
        <w:t>, 2012)</w:t>
      </w:r>
      <w:r w:rsidR="00224E61">
        <w:t xml:space="preserve">. </w:t>
      </w:r>
      <w:r w:rsidR="004F45F7">
        <w:t>On the other hand, assisted living facilities</w:t>
      </w:r>
      <w:r w:rsidR="00224E61">
        <w:t xml:space="preserve"> are essential for elderly individuals who cannot live by themselves and therefore require consistent supervision</w:t>
      </w:r>
      <w:r w:rsidR="00AF2051">
        <w:t xml:space="preserve"> (</w:t>
      </w:r>
      <w:r w:rsidR="00AF2051" w:rsidRPr="00E07C20">
        <w:rPr>
          <w:rFonts w:cs="Times New Roman"/>
          <w:color w:val="222222"/>
          <w:szCs w:val="24"/>
          <w:shd w:val="clear" w:color="auto" w:fill="FFFFFF"/>
        </w:rPr>
        <w:t>Grabowski</w:t>
      </w:r>
      <w:r w:rsidR="00AF2051">
        <w:rPr>
          <w:rFonts w:cs="Times New Roman"/>
          <w:color w:val="222222"/>
          <w:szCs w:val="24"/>
          <w:shd w:val="clear" w:color="auto" w:fill="FFFFFF"/>
        </w:rPr>
        <w:t>, 2012)</w:t>
      </w:r>
      <w:r w:rsidR="00224E61">
        <w:t xml:space="preserve">. </w:t>
      </w:r>
      <w:r w:rsidR="00071BC1">
        <w:t>Collectively, senior living communities prevent senior individuals from being isolated within society by addressing their most relevant needs.</w:t>
      </w:r>
    </w:p>
    <w:p w14:paraId="453DFE85" w14:textId="77777777" w:rsidR="007531EC" w:rsidRDefault="0071506C" w:rsidP="00294301">
      <w:pPr>
        <w:ind w:firstLine="720"/>
      </w:pPr>
      <w:r>
        <w:lastRenderedPageBreak/>
        <w:t xml:space="preserve">If there comes a time where I cannot effectively take care of myself, I wish to be taken to a nursing home for palliative care before I pass on. </w:t>
      </w:r>
      <w:r w:rsidR="00896649">
        <w:t>I believe that suitable nursing homes provide an essential multidisciplinary approach to palliative care</w:t>
      </w:r>
      <w:r w:rsidR="00071BC1">
        <w:t xml:space="preserve"> which is essential since I will probably have more healthcare</w:t>
      </w:r>
      <w:r w:rsidR="00896649">
        <w:t xml:space="preserve"> needs</w:t>
      </w:r>
      <w:r w:rsidR="00071BC1">
        <w:t xml:space="preserve"> and may require help or assistance in performing daily activities (Maniago, 2018)</w:t>
      </w:r>
      <w:r w:rsidR="00896649">
        <w:t>. Furthermore, nursing homes can constantly engage with my family to inform them about my progress and maintain my connection with them</w:t>
      </w:r>
      <w:r w:rsidR="00071BC1">
        <w:t xml:space="preserve"> (Maniago, 2018)</w:t>
      </w:r>
      <w:r w:rsidR="00896649">
        <w:t>. Nonetheless, I have not yet shared these wishes with my family because I feel that I am still young and therefore feel that it will be more efficient to discuss such matters with my family once I approach the latter years of my life. I realize that this mindset is mainly influenced by my cultural background where matters relating to care during later stage</w:t>
      </w:r>
      <w:r w:rsidR="00DF2EA3">
        <w:t>s of life are barely discussed. However, I intend to inform my family of thes</w:t>
      </w:r>
      <w:r w:rsidR="00507BE6">
        <w:t>e wishes.</w:t>
      </w:r>
    </w:p>
    <w:p w14:paraId="25AEA3D5" w14:textId="77777777" w:rsidR="00294301" w:rsidRDefault="00294301" w:rsidP="00294301">
      <w:pPr>
        <w:jc w:val="center"/>
        <w:rPr>
          <w:bCs/>
        </w:rPr>
      </w:pPr>
      <w:r>
        <w:rPr>
          <w:bCs/>
        </w:rPr>
        <w:br w:type="page"/>
      </w:r>
    </w:p>
    <w:p w14:paraId="288EC877" w14:textId="22DD7A6E" w:rsidR="007531EC" w:rsidRDefault="0071506C" w:rsidP="00294301">
      <w:pPr>
        <w:jc w:val="center"/>
        <w:rPr>
          <w:bCs/>
        </w:rPr>
      </w:pPr>
      <w:r w:rsidRPr="007531EC">
        <w:rPr>
          <w:bCs/>
        </w:rPr>
        <w:lastRenderedPageBreak/>
        <w:t>References</w:t>
      </w:r>
    </w:p>
    <w:p w14:paraId="53D01955" w14:textId="77777777" w:rsidR="00653678" w:rsidRDefault="00653678" w:rsidP="00294301">
      <w:pPr>
        <w:ind w:left="720" w:hanging="720"/>
        <w:rPr>
          <w:rFonts w:eastAsia="Times New Roman" w:cs="Times New Roman"/>
          <w:color w:val="1D1D1D"/>
          <w:szCs w:val="24"/>
        </w:rPr>
      </w:pPr>
      <w:r w:rsidRPr="00E07C20">
        <w:rPr>
          <w:rFonts w:eastAsia="Times New Roman" w:cs="Times New Roman"/>
          <w:color w:val="1D1D1D"/>
          <w:szCs w:val="24"/>
        </w:rPr>
        <w:t xml:space="preserve">Aldwin, C. M., &amp; Gilmer, D. F. (2013). </w:t>
      </w:r>
      <w:r w:rsidRPr="00E07C20">
        <w:rPr>
          <w:rFonts w:eastAsia="Times New Roman" w:cs="Times New Roman"/>
          <w:i/>
          <w:color w:val="1D1D1D"/>
          <w:szCs w:val="24"/>
        </w:rPr>
        <w:t>Health, Illness, and Optimal Aging, Second Edition: Biological and Psychosocial Perspectives</w:t>
      </w:r>
      <w:r w:rsidRPr="00E07C20">
        <w:rPr>
          <w:rFonts w:eastAsia="Times New Roman" w:cs="Times New Roman"/>
          <w:color w:val="1D1D1D"/>
          <w:szCs w:val="24"/>
        </w:rPr>
        <w:t xml:space="preserve"> (Vol. 2nd ed). New York: Springer</w:t>
      </w:r>
      <w:r>
        <w:rPr>
          <w:rFonts w:eastAsia="Times New Roman" w:cs="Times New Roman"/>
          <w:color w:val="1D1D1D"/>
          <w:szCs w:val="24"/>
        </w:rPr>
        <w:t xml:space="preserve"> Publishing Company, p.247-264.</w:t>
      </w:r>
    </w:p>
    <w:p w14:paraId="7168BC80" w14:textId="77777777" w:rsidR="00653678" w:rsidRDefault="00653678" w:rsidP="00294301">
      <w:pPr>
        <w:ind w:left="720" w:hanging="720"/>
      </w:pPr>
      <w:r w:rsidRPr="00E07C20">
        <w:t>Dhingra, I., De Sousa, A., &amp; Sonavane, S. (2016). Sexuality in older adults: Clinical and psychosocial dilemmas. Journal of Geriatric Mental Health,</w:t>
      </w:r>
      <w:r>
        <w:t xml:space="preserve"> 3(2), 131.</w:t>
      </w:r>
    </w:p>
    <w:p w14:paraId="5A14668C" w14:textId="77777777" w:rsidR="00653678" w:rsidRDefault="00653678" w:rsidP="00294301">
      <w:pPr>
        <w:ind w:left="720" w:hanging="720"/>
        <w:rPr>
          <w:rFonts w:cs="Times New Roman"/>
          <w:color w:val="222222"/>
          <w:szCs w:val="24"/>
          <w:shd w:val="clear" w:color="auto" w:fill="FFFFFF"/>
        </w:rPr>
      </w:pPr>
      <w:r w:rsidRPr="00E07C20">
        <w:rPr>
          <w:rFonts w:cs="Times New Roman"/>
          <w:color w:val="222222"/>
          <w:szCs w:val="24"/>
          <w:shd w:val="clear" w:color="auto" w:fill="FFFFFF"/>
        </w:rPr>
        <w:t>Grabowski, D. C., Stevenson, D. G., &amp; Cornell, P. Y. (2012). Assisted living expansion and the market for nursing home care. </w:t>
      </w:r>
      <w:r w:rsidRPr="00E07C20">
        <w:rPr>
          <w:rFonts w:cs="Times New Roman"/>
          <w:i/>
          <w:iCs/>
          <w:color w:val="222222"/>
          <w:szCs w:val="24"/>
          <w:shd w:val="clear" w:color="auto" w:fill="FFFFFF"/>
        </w:rPr>
        <w:t>Health services research</w:t>
      </w:r>
      <w:r w:rsidRPr="00E07C20">
        <w:rPr>
          <w:rFonts w:cs="Times New Roman"/>
          <w:color w:val="222222"/>
          <w:szCs w:val="24"/>
          <w:shd w:val="clear" w:color="auto" w:fill="FFFFFF"/>
        </w:rPr>
        <w:t>, </w:t>
      </w:r>
      <w:r w:rsidRPr="00E07C20">
        <w:rPr>
          <w:rFonts w:cs="Times New Roman"/>
          <w:i/>
          <w:iCs/>
          <w:color w:val="222222"/>
          <w:szCs w:val="24"/>
          <w:shd w:val="clear" w:color="auto" w:fill="FFFFFF"/>
        </w:rPr>
        <w:t>47</w:t>
      </w:r>
      <w:r w:rsidRPr="00E07C20">
        <w:rPr>
          <w:rFonts w:cs="Times New Roman"/>
          <w:color w:val="222222"/>
          <w:szCs w:val="24"/>
          <w:shd w:val="clear" w:color="auto" w:fill="FFFFFF"/>
        </w:rPr>
        <w:t>(6), 2296.</w:t>
      </w:r>
    </w:p>
    <w:p w14:paraId="5BAEE000" w14:textId="77777777" w:rsidR="00653678" w:rsidRDefault="00653678" w:rsidP="00294301">
      <w:pPr>
        <w:ind w:left="720" w:hanging="720"/>
      </w:pPr>
      <w:r w:rsidRPr="00E07C20">
        <w:t>Kochman</w:t>
      </w:r>
      <w:r>
        <w:t xml:space="preserve">, A. (1997). Gay and Lesbian Elderly. </w:t>
      </w:r>
      <w:r w:rsidRPr="00E07C20">
        <w:rPr>
          <w:i/>
        </w:rPr>
        <w:t>Journal of Gay &amp; Lesbian Social Services</w:t>
      </w:r>
      <w:r w:rsidRPr="00E07C20">
        <w:t>, 6:1, 1-10, DOI: 10.1300/J041v06n01_01</w:t>
      </w:r>
      <w:r>
        <w:t>.</w:t>
      </w:r>
    </w:p>
    <w:p w14:paraId="5ED4435A" w14:textId="77777777" w:rsidR="00653678" w:rsidRDefault="00653678" w:rsidP="00294301">
      <w:pPr>
        <w:ind w:left="720" w:hanging="720"/>
        <w:rPr>
          <w:rFonts w:eastAsia="Times New Roman" w:cs="Times New Roman"/>
          <w:color w:val="1D1D1D"/>
          <w:szCs w:val="24"/>
        </w:rPr>
      </w:pPr>
      <w:r w:rsidRPr="00E07C20">
        <w:rPr>
          <w:rFonts w:eastAsia="Times New Roman" w:cs="Times New Roman"/>
          <w:color w:val="1D1D1D"/>
          <w:szCs w:val="24"/>
        </w:rPr>
        <w:t>Lum, T. Y. (2005). Understanding the Racial and Ethnic Differe</w:t>
      </w:r>
      <w:r>
        <w:rPr>
          <w:rFonts w:eastAsia="Times New Roman" w:cs="Times New Roman"/>
          <w:color w:val="1D1D1D"/>
          <w:szCs w:val="24"/>
        </w:rPr>
        <w:t>nces in Caregiving Arrangements.</w:t>
      </w:r>
      <w:r w:rsidRPr="00E07C20">
        <w:rPr>
          <w:rFonts w:eastAsia="Times New Roman" w:cs="Times New Roman"/>
          <w:color w:val="1D1D1D"/>
          <w:szCs w:val="24"/>
        </w:rPr>
        <w:t xml:space="preserve"> </w:t>
      </w:r>
      <w:r w:rsidRPr="00E07C20">
        <w:rPr>
          <w:rFonts w:eastAsia="Times New Roman" w:cs="Times New Roman"/>
          <w:i/>
          <w:color w:val="1D1D1D"/>
          <w:szCs w:val="24"/>
        </w:rPr>
        <w:t>Journal of Gerontological Social Work</w:t>
      </w:r>
      <w:r w:rsidRPr="00E07C20">
        <w:rPr>
          <w:rFonts w:eastAsia="Times New Roman" w:cs="Times New Roman"/>
          <w:color w:val="1D1D1D"/>
          <w:szCs w:val="24"/>
        </w:rPr>
        <w:t>, 45:4, 3-21</w:t>
      </w:r>
      <w:r>
        <w:rPr>
          <w:rFonts w:eastAsia="Times New Roman" w:cs="Times New Roman"/>
          <w:color w:val="1D1D1D"/>
          <w:szCs w:val="24"/>
        </w:rPr>
        <w:t>.</w:t>
      </w:r>
    </w:p>
    <w:p w14:paraId="1028CE5B" w14:textId="77777777" w:rsidR="00653678" w:rsidRDefault="00653678" w:rsidP="00294301">
      <w:pPr>
        <w:ind w:left="720" w:hanging="720"/>
        <w:rPr>
          <w:rFonts w:cs="Times New Roman"/>
          <w:color w:val="222222"/>
          <w:szCs w:val="24"/>
          <w:shd w:val="clear" w:color="auto" w:fill="FFFFFF"/>
        </w:rPr>
      </w:pPr>
      <w:r w:rsidRPr="00E07C20">
        <w:rPr>
          <w:rFonts w:cs="Times New Roman"/>
          <w:color w:val="222222"/>
          <w:szCs w:val="24"/>
          <w:shd w:val="clear" w:color="auto" w:fill="FFFFFF"/>
        </w:rPr>
        <w:t>Maniago, J. D. (2018). Challenges of coming out: Inputs in improving mental health. </w:t>
      </w:r>
      <w:r w:rsidRPr="00E07C20">
        <w:rPr>
          <w:rFonts w:cs="Times New Roman"/>
          <w:i/>
          <w:iCs/>
          <w:color w:val="222222"/>
          <w:szCs w:val="24"/>
          <w:shd w:val="clear" w:color="auto" w:fill="FFFFFF"/>
        </w:rPr>
        <w:t>European Scientific Journal</w:t>
      </w:r>
      <w:r w:rsidRPr="00E07C20">
        <w:rPr>
          <w:rFonts w:cs="Times New Roman"/>
          <w:color w:val="222222"/>
          <w:szCs w:val="24"/>
          <w:shd w:val="clear" w:color="auto" w:fill="FFFFFF"/>
        </w:rPr>
        <w:t>, </w:t>
      </w:r>
      <w:r w:rsidRPr="00E07C20">
        <w:rPr>
          <w:rFonts w:cs="Times New Roman"/>
          <w:i/>
          <w:iCs/>
          <w:color w:val="222222"/>
          <w:szCs w:val="24"/>
          <w:shd w:val="clear" w:color="auto" w:fill="FFFFFF"/>
        </w:rPr>
        <w:t>14</w:t>
      </w:r>
      <w:r w:rsidRPr="00E07C20">
        <w:rPr>
          <w:rFonts w:cs="Times New Roman"/>
          <w:color w:val="222222"/>
          <w:szCs w:val="24"/>
          <w:shd w:val="clear" w:color="auto" w:fill="FFFFFF"/>
        </w:rPr>
        <w:t>(12), 336-346.</w:t>
      </w:r>
    </w:p>
    <w:p w14:paraId="088139CD" w14:textId="77777777" w:rsidR="00653678" w:rsidRPr="00E07C20" w:rsidRDefault="00653678" w:rsidP="00294301">
      <w:pPr>
        <w:ind w:left="720" w:hanging="720"/>
        <w:rPr>
          <w:rFonts w:cs="Times New Roman"/>
          <w:szCs w:val="24"/>
        </w:rPr>
      </w:pPr>
      <w:r w:rsidRPr="00E07C20">
        <w:rPr>
          <w:rFonts w:cs="Times New Roman"/>
          <w:color w:val="222222"/>
          <w:szCs w:val="24"/>
          <w:shd w:val="clear" w:color="auto" w:fill="FFFFFF"/>
        </w:rPr>
        <w:t>Quam, J. K. (1997). </w:t>
      </w:r>
      <w:r w:rsidRPr="00E07C20">
        <w:rPr>
          <w:rFonts w:cs="Times New Roman"/>
          <w:i/>
          <w:iCs/>
          <w:color w:val="222222"/>
          <w:szCs w:val="24"/>
          <w:shd w:val="clear" w:color="auto" w:fill="FFFFFF"/>
        </w:rPr>
        <w:t>Social services for senior gay men and lesbians</w:t>
      </w:r>
      <w:r w:rsidRPr="00E07C20">
        <w:rPr>
          <w:rFonts w:cs="Times New Roman"/>
          <w:color w:val="222222"/>
          <w:szCs w:val="24"/>
          <w:shd w:val="clear" w:color="auto" w:fill="FFFFFF"/>
        </w:rPr>
        <w:t>. Psychology Press</w:t>
      </w:r>
      <w:r>
        <w:rPr>
          <w:rFonts w:cs="Times New Roman"/>
          <w:color w:val="222222"/>
          <w:szCs w:val="24"/>
          <w:shd w:val="clear" w:color="auto" w:fill="FFFFFF"/>
        </w:rPr>
        <w:t>.</w:t>
      </w:r>
    </w:p>
    <w:sectPr w:rsidR="00653678" w:rsidRPr="00E07C20" w:rsidSect="00F46B5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B652B" w14:textId="77777777" w:rsidR="0071506C" w:rsidRDefault="0071506C" w:rsidP="00F46B5C">
      <w:pPr>
        <w:spacing w:after="0" w:line="240" w:lineRule="auto"/>
      </w:pPr>
      <w:r>
        <w:separator/>
      </w:r>
    </w:p>
  </w:endnote>
  <w:endnote w:type="continuationSeparator" w:id="0">
    <w:p w14:paraId="734669B5" w14:textId="77777777" w:rsidR="0071506C" w:rsidRDefault="0071506C" w:rsidP="00F4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D674D" w14:textId="77777777" w:rsidR="0071506C" w:rsidRDefault="0071506C" w:rsidP="00F46B5C">
      <w:pPr>
        <w:spacing w:after="0" w:line="240" w:lineRule="auto"/>
      </w:pPr>
      <w:r>
        <w:separator/>
      </w:r>
    </w:p>
  </w:footnote>
  <w:footnote w:type="continuationSeparator" w:id="0">
    <w:p w14:paraId="1015A694" w14:textId="77777777" w:rsidR="0071506C" w:rsidRDefault="0071506C" w:rsidP="00F46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762141930"/>
      <w:docPartObj>
        <w:docPartGallery w:val="Page Numbers (Top of Page)"/>
        <w:docPartUnique/>
      </w:docPartObj>
    </w:sdtPr>
    <w:sdtEndPr>
      <w:rPr>
        <w:noProof/>
      </w:rPr>
    </w:sdtEndPr>
    <w:sdtContent>
      <w:p w14:paraId="0F14D4FB" w14:textId="003307D3" w:rsidR="00F46B5C" w:rsidRPr="00F46B5C" w:rsidRDefault="00F46B5C" w:rsidP="00F46B5C">
        <w:pPr>
          <w:pStyle w:val="Header"/>
          <w:tabs>
            <w:tab w:val="clear" w:pos="9026"/>
            <w:tab w:val="right" w:pos="9356"/>
          </w:tabs>
          <w:jc w:val="right"/>
          <w:rPr>
            <w:sz w:val="22"/>
          </w:rPr>
        </w:pPr>
        <w:r w:rsidRPr="00F46B5C">
          <w:rPr>
            <w:bCs/>
            <w:sz w:val="22"/>
          </w:rPr>
          <w:t>AVIVA CASE STUDY RESPONSES AND THOUGHTS OF FAMILY CAREGIVING</w:t>
        </w:r>
        <w:r>
          <w:rPr>
            <w:sz w:val="22"/>
          </w:rPr>
          <w:tab/>
        </w:r>
        <w:r w:rsidRPr="00F46B5C">
          <w:rPr>
            <w:sz w:val="22"/>
          </w:rPr>
          <w:fldChar w:fldCharType="begin"/>
        </w:r>
        <w:r w:rsidRPr="00F46B5C">
          <w:rPr>
            <w:sz w:val="22"/>
          </w:rPr>
          <w:instrText xml:space="preserve"> PAGE   \* MERGEFORMAT </w:instrText>
        </w:r>
        <w:r w:rsidRPr="00F46B5C">
          <w:rPr>
            <w:sz w:val="22"/>
          </w:rPr>
          <w:fldChar w:fldCharType="separate"/>
        </w:r>
        <w:r w:rsidRPr="00F46B5C">
          <w:rPr>
            <w:noProof/>
            <w:sz w:val="22"/>
          </w:rPr>
          <w:t>2</w:t>
        </w:r>
        <w:r w:rsidRPr="00F46B5C">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834260404"/>
      <w:docPartObj>
        <w:docPartGallery w:val="Page Numbers (Top of Page)"/>
        <w:docPartUnique/>
      </w:docPartObj>
    </w:sdtPr>
    <w:sdtEndPr>
      <w:rPr>
        <w:noProof/>
      </w:rPr>
    </w:sdtEndPr>
    <w:sdtContent>
      <w:p w14:paraId="0300423E" w14:textId="0D8C8C60" w:rsidR="00F46B5C" w:rsidRPr="00F46B5C" w:rsidRDefault="00F46B5C" w:rsidP="00F46B5C">
        <w:pPr>
          <w:pStyle w:val="Header"/>
          <w:tabs>
            <w:tab w:val="clear" w:pos="9026"/>
            <w:tab w:val="right" w:pos="9356"/>
          </w:tabs>
          <w:jc w:val="right"/>
          <w:rPr>
            <w:sz w:val="22"/>
          </w:rPr>
        </w:pPr>
        <w:r>
          <w:rPr>
            <w:sz w:val="22"/>
          </w:rPr>
          <w:t xml:space="preserve">Running head: </w:t>
        </w:r>
        <w:r w:rsidRPr="00F46B5C">
          <w:rPr>
            <w:bCs/>
            <w:sz w:val="22"/>
          </w:rPr>
          <w:t>AVIVA CASE STUDY RESPONSES AND THOUGHTS OF FAMILY CAREGIVING</w:t>
        </w:r>
        <w:r>
          <w:rPr>
            <w:sz w:val="22"/>
          </w:rPr>
          <w:tab/>
        </w:r>
        <w:r w:rsidRPr="00F46B5C">
          <w:rPr>
            <w:sz w:val="22"/>
          </w:rPr>
          <w:fldChar w:fldCharType="begin"/>
        </w:r>
        <w:r w:rsidRPr="00F46B5C">
          <w:rPr>
            <w:sz w:val="22"/>
          </w:rPr>
          <w:instrText xml:space="preserve"> PAGE   \* MERGEFORMAT </w:instrText>
        </w:r>
        <w:r w:rsidRPr="00F46B5C">
          <w:rPr>
            <w:sz w:val="22"/>
          </w:rPr>
          <w:fldChar w:fldCharType="separate"/>
        </w:r>
        <w:r w:rsidRPr="00F46B5C">
          <w:rPr>
            <w:noProof/>
            <w:sz w:val="22"/>
          </w:rPr>
          <w:t>2</w:t>
        </w:r>
        <w:r w:rsidRPr="00F46B5C">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yNDc3MzU0NTeyMDRV0lEKTi0uzszPAykwrAUAehFwyywAAAA="/>
  </w:docVars>
  <w:rsids>
    <w:rsidRoot w:val="00C10ECA"/>
    <w:rsid w:val="00071BC1"/>
    <w:rsid w:val="00073D38"/>
    <w:rsid w:val="000C06D6"/>
    <w:rsid w:val="00164D06"/>
    <w:rsid w:val="00196DD0"/>
    <w:rsid w:val="00224E61"/>
    <w:rsid w:val="00294301"/>
    <w:rsid w:val="002F3BB7"/>
    <w:rsid w:val="0031113A"/>
    <w:rsid w:val="003455DE"/>
    <w:rsid w:val="003B6BED"/>
    <w:rsid w:val="004F45F7"/>
    <w:rsid w:val="00507BE6"/>
    <w:rsid w:val="00514166"/>
    <w:rsid w:val="00552D6A"/>
    <w:rsid w:val="005A7C39"/>
    <w:rsid w:val="00653678"/>
    <w:rsid w:val="0071506C"/>
    <w:rsid w:val="00723ACD"/>
    <w:rsid w:val="007531EC"/>
    <w:rsid w:val="00776C4B"/>
    <w:rsid w:val="00896649"/>
    <w:rsid w:val="00926814"/>
    <w:rsid w:val="009A672B"/>
    <w:rsid w:val="00AB251A"/>
    <w:rsid w:val="00AF2051"/>
    <w:rsid w:val="00C10ECA"/>
    <w:rsid w:val="00DF2EA3"/>
    <w:rsid w:val="00E07C20"/>
    <w:rsid w:val="00ED4456"/>
    <w:rsid w:val="00F46B5C"/>
    <w:rsid w:val="00F6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A886"/>
  <w15:docId w15:val="{E80D8686-EEAE-4C00-92DB-329C84FF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C20"/>
    <w:rPr>
      <w:color w:val="0000FF"/>
      <w:u w:val="single"/>
    </w:rPr>
  </w:style>
  <w:style w:type="paragraph" w:styleId="Header">
    <w:name w:val="header"/>
    <w:basedOn w:val="Normal"/>
    <w:link w:val="HeaderChar"/>
    <w:uiPriority w:val="99"/>
    <w:unhideWhenUsed/>
    <w:rsid w:val="00F46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B5C"/>
    <w:rPr>
      <w:rFonts w:ascii="Times New Roman" w:hAnsi="Times New Roman"/>
      <w:sz w:val="24"/>
    </w:rPr>
  </w:style>
  <w:style w:type="paragraph" w:styleId="Footer">
    <w:name w:val="footer"/>
    <w:basedOn w:val="Normal"/>
    <w:link w:val="FooterChar"/>
    <w:uiPriority w:val="99"/>
    <w:unhideWhenUsed/>
    <w:rsid w:val="00F46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B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14</cp:revision>
  <dcterms:created xsi:type="dcterms:W3CDTF">2021-06-27T17:28:00Z</dcterms:created>
  <dcterms:modified xsi:type="dcterms:W3CDTF">2021-06-27T20:37:00Z</dcterms:modified>
</cp:coreProperties>
</file>